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rPr/>
      </w:pPr>
      <w:r>
        <w:rPr/>
        <w:t>Facharbeit im Fach Physik</w:t>
      </w:r>
    </w:p>
    <w:p>
      <w:pPr>
        <w:pStyle w:val="Normal"/>
        <w:widowControl/>
        <w:suppressAutoHyphens w:val="false"/>
        <w:bidi w:val="0"/>
        <w:spacing w:lineRule="auto" w:line="360"/>
        <w:jc w:val="both"/>
        <w:rPr/>
      </w:pPr>
      <w:r>
        <w:rPr/>
        <w:t>Das Fadenpendel – Bestimmung der Erdbeschleunigung aus der Schwingungsdauer</w:t>
      </w:r>
    </w:p>
    <w:p>
      <w:pPr>
        <w:pStyle w:val="Normal"/>
        <w:widowControl/>
        <w:suppressAutoHyphens w:val="false"/>
        <w:bidi w:val="0"/>
        <w:spacing w:lineRule="auto" w:line="360"/>
        <w:jc w:val="both"/>
        <w:rPr/>
      </w:pPr>
      <w:r>
        <w:rPr/>
        <w:t>Verfasst von: Alex Beispiel</w:t>
      </w:r>
    </w:p>
    <w:p>
      <w:pPr>
        <w:pStyle w:val="Normal"/>
        <w:widowControl/>
        <w:suppressAutoHyphens w:val="false"/>
        <w:bidi w:val="0"/>
        <w:spacing w:lineRule="auto" w:line="360"/>
        <w:jc w:val="both"/>
        <w:rPr/>
      </w:pPr>
      <w:r>
        <w:rPr/>
        <w:t>Kurs: Physik Q1</w:t>
      </w:r>
    </w:p>
    <w:p>
      <w:pPr>
        <w:pStyle w:val="Normal"/>
        <w:widowControl/>
        <w:suppressAutoHyphens w:val="false"/>
        <w:bidi w:val="0"/>
        <w:spacing w:lineRule="auto" w:line="360"/>
        <w:jc w:val="both"/>
        <w:rPr/>
      </w:pPr>
      <w:r>
        <w:rPr/>
        <w:t>Betreuende Lehrkraft: Frau Muster</w:t>
      </w:r>
    </w:p>
    <w:p>
      <w:pPr>
        <w:pStyle w:val="Normal"/>
        <w:widowControl/>
        <w:suppressAutoHyphens w:val="false"/>
        <w:bidi w:val="0"/>
        <w:spacing w:lineRule="auto" w:line="360"/>
        <w:jc w:val="both"/>
        <w:rPr/>
      </w:pPr>
      <w:r>
        <w:rPr/>
        <w:t>Abgabe: 15.03.2027</w:t>
      </w:r>
    </w:p>
    <w:p>
      <w:pPr>
        <w:pStyle w:val="Normal"/>
        <w:widowControl/>
        <w:suppressAutoHyphens w:val="false"/>
        <w:bidi w:val="0"/>
        <w:spacing w:lineRule="auto" w:line="360"/>
        <w:jc w:val="both"/>
        <w:rPr/>
      </w:pPr>
      <w:r>
        <w:rPr/>
      </w:r>
    </w:p>
    <w:p>
      <w:pPr>
        <w:sectPr>
          <w:type w:val="nextPage"/>
          <w:pgSz w:w="11906" w:h="16838"/>
          <w:pgMar w:left="1134" w:right="1134" w:gutter="0" w:header="0" w:top="1134" w:footer="0" w:bottom="1134"/>
          <w:pgNumType w:fmt="decimal"/>
          <w:formProt w:val="false"/>
          <w:textDirection w:val="lrTb"/>
          <w:docGrid w:type="default" w:linePitch="600" w:charSpace="32768"/>
        </w:sectPr>
      </w:pPr>
    </w:p>
    <w:sdt>
      <w:sdtPr>
        <w:docPartObj>
          <w:docPartGallery w:val="Table of Contents"/>
          <w:docPartUnique w:val="true"/>
        </w:docPartObj>
      </w:sdtPr>
      <w:sdtContent>
        <w:p>
          <w:pPr>
            <w:pStyle w:val="TOCHeading"/>
            <w:bidi w:val="0"/>
            <w:rPr/>
          </w:pPr>
          <w:r>
            <w:rPr/>
            <w:t>Inhaltsverzeichnis</w:t>
          </w:r>
        </w:p>
        <w:p>
          <w:pPr>
            <w:pStyle w:val="TOC1"/>
            <w:tabs>
              <w:tab w:val="clear" w:pos="9072"/>
              <w:tab w:val="right" w:pos="9071" w:leader="dot"/>
            </w:tabs>
            <w:bidi w:val="0"/>
            <w:rPr/>
          </w:pPr>
          <w:r>
            <w:fldChar w:fldCharType="begin"/>
          </w:r>
          <w:r>
            <w:rPr>
              <w:rStyle w:val="Verzeichnissprung"/>
            </w:rPr>
            <w:instrText xml:space="preserve"> TOC \f \o "1-3" \h</w:instrText>
          </w:r>
          <w:r>
            <w:rPr>
              <w:rStyle w:val="Verzeichnissprung"/>
            </w:rPr>
            <w:fldChar w:fldCharType="separate"/>
          </w:r>
          <w:hyperlink w:anchor="__RefHeading___Toc80_3161735446" w:tooltip="Einleitung">
            <w:r>
              <w:rPr>
                <w:rStyle w:val="Verzeichnissprung"/>
              </w:rPr>
              <w:t>1 Einleitung</w:t>
              <w:tab/>
              <w:t>3</w:t>
            </w:r>
          </w:hyperlink>
        </w:p>
        <w:p>
          <w:pPr>
            <w:pStyle w:val="TOC1"/>
            <w:tabs>
              <w:tab w:val="clear" w:pos="9072"/>
              <w:tab w:val="right" w:pos="9071" w:leader="dot"/>
            </w:tabs>
            <w:bidi w:val="0"/>
            <w:rPr/>
          </w:pPr>
          <w:hyperlink w:anchor="__RefHeading___Toc82_3161735446" w:tooltip="Theoretische Grundlagen">
            <w:r>
              <w:rPr>
                <w:rStyle w:val="Verzeichnissprung"/>
              </w:rPr>
              <w:t>2 Theoretische Grundlagen</w:t>
              <w:tab/>
              <w:t>3</w:t>
            </w:r>
          </w:hyperlink>
        </w:p>
        <w:p>
          <w:pPr>
            <w:pStyle w:val="TOC2"/>
            <w:tabs>
              <w:tab w:val="clear" w:pos="8789"/>
              <w:tab w:val="right" w:pos="9071" w:leader="dot"/>
            </w:tabs>
            <w:bidi w:val="0"/>
            <w:rPr/>
          </w:pPr>
          <w:hyperlink w:anchor="__RefHeading___Toc84_3161735446" w:tooltip="Das mathematische Pendel">
            <w:r>
              <w:rPr>
                <w:rStyle w:val="Verzeichnissprung"/>
              </w:rPr>
              <w:t>2.1 Das mathematische Pendel</w:t>
              <w:tab/>
              <w:t>3</w:t>
            </w:r>
          </w:hyperlink>
        </w:p>
        <w:p>
          <w:pPr>
            <w:pStyle w:val="TOC2"/>
            <w:tabs>
              <w:tab w:val="clear" w:pos="8789"/>
              <w:tab w:val="right" w:pos="9071" w:leader="dot"/>
            </w:tabs>
            <w:bidi w:val="0"/>
            <w:rPr/>
          </w:pPr>
          <w:hyperlink w:anchor="__RefHeading___Toc86_3161735446" w:tooltip="Bestimmung der Erdbeschleunigung">
            <w:r>
              <w:rPr>
                <w:rStyle w:val="Verzeichnissprung"/>
              </w:rPr>
              <w:t>2.2 Bestimmung der Erdbeschleunigung</w:t>
              <w:tab/>
              <w:t>3</w:t>
            </w:r>
          </w:hyperlink>
        </w:p>
        <w:p>
          <w:pPr>
            <w:pStyle w:val="TOC1"/>
            <w:tabs>
              <w:tab w:val="clear" w:pos="9072"/>
              <w:tab w:val="right" w:pos="9071" w:leader="dot"/>
            </w:tabs>
            <w:bidi w:val="0"/>
            <w:rPr/>
          </w:pPr>
          <w:hyperlink w:anchor="__RefHeading___Toc88_3161735446" w:tooltip="Versuchsaufbau und Durchführung">
            <w:r>
              <w:rPr>
                <w:rStyle w:val="Verzeichnissprung"/>
              </w:rPr>
              <w:t>3 Versuchsaufbau und Durchführung</w:t>
              <w:tab/>
              <w:t>4</w:t>
            </w:r>
          </w:hyperlink>
        </w:p>
        <w:p>
          <w:pPr>
            <w:pStyle w:val="TOC1"/>
            <w:tabs>
              <w:tab w:val="clear" w:pos="9072"/>
              <w:tab w:val="right" w:pos="9071" w:leader="dot"/>
            </w:tabs>
            <w:bidi w:val="0"/>
            <w:rPr/>
          </w:pPr>
          <w:hyperlink w:anchor="__RefHeading___Toc90_3161735446" w:tooltip="Auswertung">
            <w:r>
              <w:rPr>
                <w:rStyle w:val="Verzeichnissprung"/>
              </w:rPr>
              <w:t>4 Auswertung</w:t>
              <w:tab/>
              <w:t>4</w:t>
            </w:r>
          </w:hyperlink>
        </w:p>
        <w:p>
          <w:pPr>
            <w:pStyle w:val="TOC2"/>
            <w:tabs>
              <w:tab w:val="clear" w:pos="8789"/>
              <w:tab w:val="right" w:pos="9071" w:leader="dot"/>
            </w:tabs>
            <w:bidi w:val="0"/>
            <w:rPr/>
          </w:pPr>
          <w:hyperlink w:anchor="__RefHeading___Toc101_3161735446" w:tooltip="Messwerte">
            <w:r>
              <w:rPr>
                <w:rStyle w:val="Verzeichnissprung"/>
              </w:rPr>
              <w:t>4.1 Messwerte</w:t>
              <w:tab/>
              <w:t>4</w:t>
            </w:r>
          </w:hyperlink>
        </w:p>
        <w:p>
          <w:pPr>
            <w:pStyle w:val="TOC2"/>
            <w:tabs>
              <w:tab w:val="clear" w:pos="8789"/>
              <w:tab w:val="right" w:pos="9071" w:leader="dot"/>
            </w:tabs>
            <w:bidi w:val="0"/>
            <w:rPr/>
          </w:pPr>
          <w:hyperlink w:anchor="__RefHeading___Toc103_3161735446" w:tooltip="Grafische Auswertung">
            <w:r>
              <w:rPr>
                <w:rStyle w:val="Verzeichnissprung"/>
              </w:rPr>
              <w:t>4.2 Grafische Auswertung</w:t>
              <w:tab/>
              <w:t>4</w:t>
            </w:r>
          </w:hyperlink>
        </w:p>
        <w:p>
          <w:pPr>
            <w:pStyle w:val="TOC1"/>
            <w:tabs>
              <w:tab w:val="clear" w:pos="9072"/>
              <w:tab w:val="right" w:pos="9071" w:leader="dot"/>
            </w:tabs>
            <w:bidi w:val="0"/>
            <w:rPr/>
          </w:pPr>
          <w:hyperlink w:anchor="__RefHeading___Toc92_3161735446" w:tooltip="Diskussion der Messunsicherheiten">
            <w:r>
              <w:rPr>
                <w:rStyle w:val="Verzeichnissprung"/>
              </w:rPr>
              <w:t>5 Diskussion der Messunsicherheiten</w:t>
              <w:tab/>
              <w:t>4</w:t>
            </w:r>
          </w:hyperlink>
        </w:p>
        <w:p>
          <w:pPr>
            <w:pStyle w:val="TOC1"/>
            <w:tabs>
              <w:tab w:val="clear" w:pos="9072"/>
              <w:tab w:val="right" w:pos="9071" w:leader="dot"/>
            </w:tabs>
            <w:bidi w:val="0"/>
            <w:rPr/>
          </w:pPr>
          <w:hyperlink w:anchor="__RefHeading___Toc94_3161735446" w:tooltip="Fazit">
            <w:r>
              <w:rPr>
                <w:rStyle w:val="Verzeichnissprung"/>
              </w:rPr>
              <w:t>6 Fazit</w:t>
              <w:tab/>
              <w:t>5</w:t>
            </w:r>
          </w:hyperlink>
        </w:p>
        <w:p>
          <w:pPr>
            <w:pStyle w:val="TOC1"/>
            <w:tabs>
              <w:tab w:val="clear" w:pos="9072"/>
              <w:tab w:val="right" w:pos="9071" w:leader="dot"/>
            </w:tabs>
            <w:bidi w:val="0"/>
            <w:rPr/>
          </w:pPr>
          <w:hyperlink w:anchor="__RefHeading___Toc96_3161735446" w:tooltip="Literaturverzeichnis">
            <w:r>
              <w:rPr>
                <w:rStyle w:val="Verzeichnissprung"/>
              </w:rPr>
              <w:t>Literaturverzeichnis</w:t>
              <w:tab/>
              <w:t>5</w:t>
            </w:r>
          </w:hyperlink>
        </w:p>
        <w:p>
          <w:pPr>
            <w:pStyle w:val="TOC1"/>
            <w:tabs>
              <w:tab w:val="clear" w:pos="9072"/>
              <w:tab w:val="right" w:pos="9071" w:leader="dot"/>
            </w:tabs>
            <w:bidi w:val="0"/>
            <w:rPr/>
          </w:pPr>
          <w:hyperlink w:anchor="__RefHeading___Toc98_3161735446" w:tooltip="Selbstständigkeitserklärung">
            <w:r>
              <w:rPr>
                <w:rStyle w:val="Verzeichnissprung"/>
              </w:rPr>
              <w:t>Selbstständigkeitserklärung</w:t>
              <w:tab/>
              <w:t>5</w:t>
            </w:r>
          </w:hyperlink>
          <w:r>
            <w:rPr>
              <w:rStyle w:val="Verzeichnissprung"/>
            </w:rPr>
            <w:fldChar w:fldCharType="end"/>
          </w:r>
        </w:p>
      </w:sdtContent>
    </w:sdt>
    <w:p>
      <w:pPr>
        <w:pStyle w:val="Normal"/>
        <w:bidi w:val="0"/>
        <w:rPr/>
      </w:pPr>
      <w:r>
        <w:rPr/>
      </w:r>
    </w:p>
    <w:p>
      <w:pPr>
        <w:pStyle w:val="Heading1"/>
        <w:widowControl/>
        <w:numPr>
          <w:ilvl w:val="0"/>
          <w:numId w:val="0"/>
        </w:numPr>
        <w:suppressAutoHyphens w:val="false"/>
        <w:bidi w:val="0"/>
        <w:spacing w:lineRule="auto" w:line="360"/>
        <w:jc w:val="both"/>
        <w:rPr/>
      </w:pPr>
      <w:r>
        <w:rPr/>
      </w:r>
      <w:r>
        <w:br w:type="page"/>
      </w:r>
    </w:p>
    <w:p>
      <w:pPr>
        <w:pStyle w:val="Heading1"/>
        <w:bidi w:val="0"/>
        <w:ind w:hanging="0" w:start="0"/>
        <w:rPr/>
      </w:pPr>
      <w:bookmarkStart w:id="0" w:name="__RefHeading___Toc80_3161735446"/>
      <w:bookmarkEnd w:id="0"/>
      <w:r>
        <w:rPr/>
        <w:t>Einleitung</w:t>
      </w:r>
    </w:p>
    <w:p>
      <w:pPr>
        <w:pStyle w:val="Normal"/>
        <w:widowControl/>
        <w:suppressAutoHyphens w:val="false"/>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widowControl/>
        <w:suppressAutoHyphens w:val="false"/>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Heading1"/>
        <w:bidi w:val="0"/>
        <w:ind w:hanging="0" w:start="0"/>
        <w:rPr/>
      </w:pPr>
      <w:bookmarkStart w:id="1" w:name="__RefHeading___Toc82_3161735446"/>
      <w:bookmarkEnd w:id="1"/>
      <w:r>
        <w:rPr/>
        <w:t>Theoretische Grundlagen</w:t>
      </w:r>
    </w:p>
    <w:p>
      <w:pPr>
        <w:pStyle w:val="Heading2"/>
        <w:bidi w:val="0"/>
        <w:ind w:hanging="0" w:start="0"/>
        <w:rPr/>
      </w:pPr>
      <w:bookmarkStart w:id="2" w:name="__RefHeading___Toc84_3161735446"/>
      <w:bookmarkEnd w:id="2"/>
      <w:r>
        <w:rPr/>
        <w:t>Das mathematische Pendel</w:t>
      </w:r>
    </w:p>
    <w:p>
      <w:pPr>
        <w:pStyle w:val="Normal"/>
        <w:widowControl/>
        <w:suppressAutoHyphens w:val="false"/>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ist die Rückstellkraft näherungsweise proportional zur Auslenkung, sodass eine harmonische Schwingung entsteht (vgl. Beispiel 2019, S. 112).</w:t>
      </w:r>
    </w:p>
    <w:p>
      <w:pPr>
        <w:pStyle w:val="Normal"/>
        <w:bidi w:val="0"/>
        <w:rPr/>
      </w:pPr>
      <w:r>
        <w:rPr/>
        <w:t>Für die Schwingungsdauer T gilt dann die Beziehung</w:t>
      </w:r>
    </w:p>
    <w:tbl>
      <w:tblPr>
        <w:tblW w:w="5000" w:type="pct"/>
        <w:jc w:val="start"/>
        <w:tblInd w:w="0" w:type="dxa"/>
        <w:tblLayout w:type="fixed"/>
        <w:tblCellMar>
          <w:top w:w="55" w:type="dxa"/>
          <w:start w:w="55" w:type="dxa"/>
          <w:bottom w:w="55" w:type="dxa"/>
          <w:end w:w="55" w:type="dxa"/>
        </w:tblCellMar>
      </w:tblPr>
      <w:tblGrid>
        <w:gridCol w:w="8063"/>
        <w:gridCol w:w="1009"/>
      </w:tblGrid>
      <w:tr>
        <w:trPr>
          <w:tblHeader w:val="true"/>
        </w:trPr>
        <w:tc>
          <w:tcPr>
            <w:tcW w:w="8063" w:type="dxa"/>
            <w:tcBorders/>
            <w:vAlign w:val="center"/>
          </w:tcPr>
          <w:p>
            <w:pPr>
              <w:pStyle w:val="Tabelleninhalt"/>
              <w:bidi w:val="0"/>
              <w:jc w:val="center"/>
              <w:rPr/>
            </w:pPr>
            <w:r>
              <w:rPr/>
            </w:r>
            <m:oMathPara xmlns:m="http://schemas.openxmlformats.org/officeDocument/2006/math">
              <m:oMathParaPr>
                <m:jc m:val="center"/>
              </m:oMathParaPr>
              <m:oMath>
                <m:r>
                  <m:t xml:space="preserve">T</m:t>
                </m:r>
                <m:r>
                  <m:t xml:space="preserve">=</m:t>
                </m:r>
                <m:r>
                  <m:t xml:space="preserve">2</m:t>
                </m:r>
                <m:r>
                  <m:t xml:space="preserve">π</m:t>
                </m:r>
                <m:rad>
                  <m:radPr>
                    <m:degHide m:val="1"/>
                  </m:radPr>
                  <m:deg/>
                  <m:e>
                    <m:f>
                      <m:num>
                        <m:r>
                          <m:t xml:space="preserve">l</m:t>
                        </m:r>
                      </m:num>
                      <m:den>
                        <m:r>
                          <m:t xml:space="preserve">g</m:t>
                        </m:r>
                      </m:den>
                    </m:f>
                  </m:e>
                </m:rad>
              </m:oMath>
            </m:oMathPara>
          </w:p>
        </w:tc>
        <w:tc>
          <w:tcPr>
            <w:tcW w:w="1009" w:type="dxa"/>
            <w:tcBorders/>
            <w:vAlign w:val="center"/>
          </w:tcPr>
          <w:p>
            <w:pPr>
              <w:pStyle w:val="Tabelleninhalt"/>
              <w:bidi w:val="0"/>
              <w:rPr/>
            </w:pPr>
            <w:r>
              <w:rPr/>
              <w:t>(</w:t>
            </w:r>
            <w:r>
              <w:rPr/>
              <w:fldChar w:fldCharType="begin"/>
            </w:r>
            <w:r>
              <w:rPr/>
              <w:instrText xml:space="preserve"> SEQ Text \* ARABIC </w:instrText>
            </w:r>
            <w:r>
              <w:rPr/>
              <w:fldChar w:fldCharType="separate"/>
            </w:r>
            <w:r>
              <w:rPr/>
              <w:t>1</w:t>
            </w:r>
            <w:r>
              <w:rPr/>
              <w:fldChar w:fldCharType="end"/>
            </w:r>
            <w:r>
              <w:rPr/>
              <w:t>)</w:t>
            </w:r>
          </w:p>
        </w:tc>
      </w:tr>
    </w:tbl>
    <w:p>
      <w:pPr>
        <w:pStyle w:val="Normal"/>
        <w:bidi w:val="0"/>
        <w:rPr/>
      </w:pPr>
      <w:r>
        <w:rPr/>
        <w:t>wobei l die Pendellänge und g die Erdbeschleunigung ist. Bemerkenswert ist, dass die Schwingungsdauer weder von der Masse des Pendelkörpers noch – bei kleinen Winkeln – von der Amplitude abhängt.</w:t>
      </w:r>
    </w:p>
    <w:p>
      <w:pPr>
        <w:pStyle w:val="Normal"/>
        <w:bidi w:val="0"/>
        <w:rPr/>
      </w:pPr>
      <w:r>
        <w:rPr/>
        <w:t>Beispiel (2019) fasst diese Eigenschaft so zusammen:</w:t>
      </w:r>
    </w:p>
    <w:p>
      <w:pPr>
        <w:pStyle w:val="Blockzitat"/>
        <w:bidi w:val="0"/>
        <w:spacing w:before="0" w:after="283"/>
        <w:ind w:hanging="0" w:start="567" w:end="567"/>
        <w:rPr/>
      </w:pPr>
      <w:r>
        <w:rPr/>
        <w:t>Für kleine Auslenkungen ist die Schwingungsdauer eines Fadenpendels unabhängig davon, wie weit es ausgelenkt wird. Diese Eigenschaft nennt man Isochronie. Auf ihr beruhten die ersten Pendeluhren, die erstmals eine Zeitmessung auf wenige Sekunden pro Tag genau erlaubten (S. 113).</w:t>
      </w:r>
    </w:p>
    <w:p>
      <w:pPr>
        <w:pStyle w:val="Heading2"/>
        <w:bidi w:val="0"/>
        <w:ind w:hanging="0" w:start="0"/>
        <w:rPr/>
      </w:pPr>
      <w:bookmarkStart w:id="3" w:name="__RefHeading___Toc86_3161735446"/>
      <w:bookmarkEnd w:id="3"/>
      <w:r>
        <w:rPr/>
        <w:t>Bestimmung der Erdbeschleunigung</w:t>
      </w:r>
    </w:p>
    <w:p>
      <w:pPr>
        <w:pStyle w:val="Normal"/>
        <w:bidi w:val="0"/>
        <w:rPr/>
      </w:pPr>
      <w:r>
        <w:rPr/>
        <w:t>Stellt man die Gleichung nach g um, so ergibt sich:</w:t>
      </w:r>
    </w:p>
    <w:tbl>
      <w:tblPr>
        <w:tblW w:w="5000" w:type="pct"/>
        <w:jc w:val="start"/>
        <w:tblInd w:w="0" w:type="dxa"/>
        <w:tblLayout w:type="fixed"/>
        <w:tblCellMar>
          <w:top w:w="55" w:type="dxa"/>
          <w:start w:w="55" w:type="dxa"/>
          <w:bottom w:w="55" w:type="dxa"/>
          <w:end w:w="55" w:type="dxa"/>
        </w:tblCellMar>
      </w:tblPr>
      <w:tblGrid>
        <w:gridCol w:w="8063"/>
        <w:gridCol w:w="1009"/>
      </w:tblGrid>
      <w:tr>
        <w:trPr>
          <w:tblHeader w:val="true"/>
        </w:trPr>
        <w:tc>
          <w:tcPr>
            <w:tcW w:w="8063" w:type="dxa"/>
            <w:tcBorders/>
            <w:vAlign w:val="center"/>
          </w:tcPr>
          <w:p>
            <w:pPr>
              <w:pStyle w:val="Tabelleninhalt"/>
              <w:bidi w:val="0"/>
              <w:jc w:val="center"/>
              <w:rPr/>
            </w:pPr>
            <w:r>
              <w:rPr/>
            </w:r>
            <m:oMathPara xmlns:m="http://schemas.openxmlformats.org/officeDocument/2006/math">
              <m:oMathParaPr>
                <m:jc m:val="center"/>
              </m:oMathParaPr>
              <m:oMath>
                <m:r>
                  <m:t xml:space="preserve">g</m:t>
                </m:r>
                <m:r>
                  <m:t xml:space="preserve">=</m:t>
                </m:r>
                <m:f>
                  <m:num>
                    <m:r>
                      <m:t xml:space="preserve">4</m:t>
                    </m:r>
                    <m:sSup>
                      <m:e>
                        <m:r>
                          <m:t xml:space="preserve">π</m:t>
                        </m:r>
                      </m:e>
                      <m:sup>
                        <m:r>
                          <m:t xml:space="preserve">2</m:t>
                        </m:r>
                      </m:sup>
                    </m:sSup>
                    <m:r>
                      <m:t xml:space="preserve">l</m:t>
                    </m:r>
                  </m:num>
                  <m:den>
                    <m:sSup>
                      <m:e>
                        <m:r>
                          <m:t xml:space="preserve">T</m:t>
                        </m:r>
                      </m:e>
                      <m:sup>
                        <m:r>
                          <m:t xml:space="preserve">2</m:t>
                        </m:r>
                      </m:sup>
                    </m:sSup>
                  </m:den>
                </m:f>
              </m:oMath>
            </m:oMathPara>
          </w:p>
        </w:tc>
        <w:tc>
          <w:tcPr>
            <w:tcW w:w="1009" w:type="dxa"/>
            <w:tcBorders/>
            <w:vAlign w:val="center"/>
          </w:tcPr>
          <w:p>
            <w:pPr>
              <w:pStyle w:val="Tabelleninhalt"/>
              <w:bidi w:val="0"/>
              <w:rPr/>
            </w:pPr>
            <w:r>
              <w:rPr/>
              <w:t>(</w:t>
            </w:r>
            <w:r>
              <w:rPr/>
              <w:fldChar w:fldCharType="begin"/>
            </w:r>
            <w:r>
              <w:rPr/>
              <w:instrText xml:space="preserve"> SEQ Text \* ARABIC </w:instrText>
            </w:r>
            <w:r>
              <w:rPr/>
              <w:fldChar w:fldCharType="separate"/>
            </w:r>
            <w:r>
              <w:rPr/>
              <w:t>2</w:t>
            </w:r>
            <w:r>
              <w:rPr/>
              <w:fldChar w:fldCharType="end"/>
            </w:r>
            <w:r>
              <w:rPr/>
              <w:t>)</w:t>
            </w:r>
          </w:p>
        </w:tc>
      </w:tr>
    </w:tbl>
    <w:p>
      <w:pPr>
        <w:pStyle w:val="Normal"/>
        <w:bidi w:val="0"/>
        <w:rPr/>
      </w:pPr>
      <w:r>
        <w:rPr/>
        <w:t>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Heading1"/>
        <w:bidi w:val="0"/>
        <w:ind w:hanging="0" w:start="0"/>
        <w:rPr/>
      </w:pPr>
      <w:bookmarkStart w:id="4" w:name="__RefHeading___Toc88_3161735446"/>
      <w:bookmarkEnd w:id="4"/>
      <w:r>
        <w:rPr/>
        <w:t>Versuchsaufbau und Durchführung</w:t>
      </w:r>
    </w:p>
    <w:p>
      <w:pPr>
        <w:pStyle w:val="Normal"/>
        <w:widowControl/>
        <w:suppressAutoHyphens w:val="false"/>
        <w:bidi w:val="0"/>
        <w:spacing w:lineRule="auto" w:line="360"/>
        <w:jc w:val="both"/>
        <w:rPr/>
      </w:pPr>
      <w:r>
        <w:rPr/>
        <w:t xml:space="preserve">An einem Stativ wurde ein dünner Nylonfaden befestigt, an dessen Ende eine Stahlkugel mit einer Masse von 50 g hing. Die Pendellänge wurde vom Aufhängepunkt bis zum Mittelpunkt der Kugel gemessen. Die Kugel wurde jeweils um etwa 5° ausgelenkt und losgelassen. Gemessen wurde mit einer Stoppuhr </w:t>
      </w:r>
      <w:r>
        <w:rPr>
          <w:rStyle w:val="FootnoteReference"/>
        </w:rPr>
        <w:footnoteReference w:id="2"/>
      </w:r>
      <w:r>
        <w:rPr/>
        <w:t>die Dauer von zehn vollen Schwingungen, um den Einfluss der Reaktionszeit zu verringern. Die Messung wurde für fünf verschiedene Pendellängen zwischen 30 cm und 110 cm durchgeführt.</w:t>
      </w:r>
    </w:p>
    <w:p>
      <w:pPr>
        <w:pStyle w:val="Normal"/>
        <w:widowControl/>
        <w:suppressAutoHyphens w:val="false"/>
        <w:bidi w:val="0"/>
        <w:spacing w:lineRule="auto" w:line="360"/>
        <w:jc w:val="both"/>
        <w:rPr/>
      </w:pPr>
      <w:r>
        <w:rPr/>
        <w:t xml:space="preserve">Der Versuchsaufbau ist in </w:t>
      </w:r>
      <w:r>
        <w:rPr/>
        <w:fldChar w:fldCharType="begin"/>
      </w:r>
      <w:r>
        <w:rPr/>
        <w:instrText xml:space="preserve"> REF Ref_Abbildung0_label_and_number \h </w:instrText>
      </w:r>
      <w:r>
        <w:rPr/>
        <w:fldChar w:fldCharType="separate"/>
      </w:r>
      <w:r>
        <w:rPr/>
        <w:t>Abbildung 1</w:t>
      </w:r>
      <w:r>
        <w:rPr/>
        <w:fldChar w:fldCharType="end"/>
      </w:r>
      <w:r>
        <w:rPr/>
        <w:t xml:space="preserve"> dargestellt.</w:t>
      </w:r>
    </w:p>
    <w:p>
      <w:pPr>
        <w:pStyle w:val="Normal"/>
        <w:widowControl/>
        <w:suppressAutoHyphens w:val="false"/>
        <w:bidi w:val="0"/>
        <w:spacing w:lineRule="auto" w:line="360"/>
        <w:jc w:val="both"/>
        <w:rPr/>
      </w:pPr>
      <w:r>
        <w:rPr/>
      </w:r>
      <w:r>
        <mc:AlternateContent>
          <mc:Choice Requires="wps">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3599815" cy="3028950"/>
                <wp:effectExtent l="0" t="0" r="0" b="0"/>
                <wp:wrapTopAndBottom/>
                <wp:docPr id="1" name="Rahmen1"/>
                <a:graphic xmlns:a="http://schemas.openxmlformats.org/drawingml/2006/main">
                  <a:graphicData uri="http://schemas.microsoft.com/office/word/2010/wordprocessingShape">
                    <wps:wsp>
                      <wps:cNvSpPr txBox="1"/>
                      <wps:spPr>
                        <a:xfrm>
                          <a:off x="0" y="0"/>
                          <a:ext cx="3599815" cy="3028950"/>
                        </a:xfrm>
                        <a:prstGeom prst="rect"/>
                        <a:solidFill>
                          <a:srgbClr val="FFFFFF"/>
                        </a:solidFill>
                      </wps:spPr>
                      <wps:txbx>
                        <w:txbxContent>
                          <w:p>
                            <w:pPr>
                              <w:pStyle w:val="Abbildung"/>
                              <w:bidi w:val="0"/>
                              <w:spacing w:before="120" w:after="120"/>
                              <w:rPr/>
                            </w:pPr>
                            <w:bookmarkStart w:id="5" w:name="Ref_Abbildung0_label_and_number"/>
                            <w:r>
                              <w:rPr/>
                              <w:drawing>
                                <wp:inline distT="0" distB="0" distL="0" distR="0">
                                  <wp:extent cx="3599815" cy="2693035"/>
                                  <wp:effectExtent l="0" t="0" r="0" b="0"/>
                                  <wp:docPr id="2"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1"/>
                                          <pic:cNvPicPr>
                                            <a:picLocks noChangeAspect="1" noChangeArrowheads="1"/>
                                          </pic:cNvPicPr>
                                        </pic:nvPicPr>
                                        <pic:blipFill>
                                          <a:blip r:embed="rId2"/>
                                          <a:stretch>
                                            <a:fillRect/>
                                          </a:stretch>
                                        </pic:blipFill>
                                        <pic:spPr bwMode="auto">
                                          <a:xfrm>
                                            <a:off x="0" y="0"/>
                                            <a:ext cx="3599815" cy="2693035"/>
                                          </a:xfrm>
                                          <a:prstGeom prst="rect">
                                            <a:avLst/>
                                          </a:prstGeom>
                                          <a:noFill/>
                                        </pic:spPr>
                                      </pic:pic>
                                    </a:graphicData>
                                  </a:graphic>
                                </wp:inline>
                              </w:drawing>
                              <w:t xml:space="preserve">Abbildung </w:t>
                            </w:r>
                            <w:r>
                              <w:rPr/>
                              <w:fldChar w:fldCharType="begin"/>
                            </w:r>
                            <w:r>
                              <w:rPr/>
                              <w:instrText xml:space="preserve"> SEQ Abbildung \* ARABIC </w:instrText>
                            </w:r>
                            <w:r>
                              <w:rPr/>
                              <w:fldChar w:fldCharType="separate"/>
                            </w:r>
                            <w:r>
                              <w:rPr/>
                              <w:t>1</w:t>
                            </w:r>
                            <w:r>
                              <w:rPr/>
                              <w:fldChar w:fldCharType="end"/>
                            </w:r>
                            <w:bookmarkEnd w:id="5"/>
                            <w:r>
                              <w:rPr/>
                              <w:t xml:space="preserve">: </w:t>
                            </w:r>
                            <w:r>
                              <w:rPr/>
                              <w:t>Versuchsaufbau (eigene Darstellung)</w:t>
                            </w:r>
                          </w:p>
                        </w:txbxContent>
                      </wps:txbx>
                      <wps:bodyPr anchor="t" lIns="0" tIns="0" rIns="0" bIns="0">
                        <a:noAutofit/>
                      </wps:bodyPr>
                    </wps:wsp>
                  </a:graphicData>
                </a:graphic>
              </wp:anchor>
            </w:drawing>
          </mc:Choice>
          <mc:Fallback>
            <w:pict>
              <v:rect style="position:absolute;rotation:-0;width:283.45pt;height:238.5pt;mso-wrap-distance-left:0pt;mso-wrap-distance-right:0pt;mso-wrap-distance-top:0pt;mso-wrap-distance-bottom:0pt;margin-top:0pt;mso-position-vertical:top;mso-position-vertical-relative:text;margin-left:85.1pt;mso-position-horizontal:center;mso-position-horizontal-relative:text">
                <v:textbox inset="0in,0in,0in,0in">
                  <w:txbxContent>
                    <w:p>
                      <w:pPr>
                        <w:pStyle w:val="Abbildung"/>
                        <w:bidi w:val="0"/>
                        <w:spacing w:before="120" w:after="120"/>
                        <w:rPr/>
                      </w:pPr>
                      <w:bookmarkStart w:id="6" w:name="Ref_Abbildung0_label_and_number"/>
                      <w:r>
                        <w:rPr/>
                        <w:drawing>
                          <wp:inline distT="0" distB="0" distL="0" distR="0">
                            <wp:extent cx="3599815" cy="2693035"/>
                            <wp:effectExtent l="0" t="0" r="0" b="0"/>
                            <wp:docPr id="3"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1"/>
                                    <pic:cNvPicPr>
                                      <a:picLocks noChangeAspect="1" noChangeArrowheads="1"/>
                                    </pic:cNvPicPr>
                                  </pic:nvPicPr>
                                  <pic:blipFill>
                                    <a:blip r:embed="rId3"/>
                                    <a:stretch>
                                      <a:fillRect/>
                                    </a:stretch>
                                  </pic:blipFill>
                                  <pic:spPr bwMode="auto">
                                    <a:xfrm>
                                      <a:off x="0" y="0"/>
                                      <a:ext cx="3599815" cy="2693035"/>
                                    </a:xfrm>
                                    <a:prstGeom prst="rect">
                                      <a:avLst/>
                                    </a:prstGeom>
                                    <a:noFill/>
                                  </pic:spPr>
                                </pic:pic>
                              </a:graphicData>
                            </a:graphic>
                          </wp:inline>
                        </w:drawing>
                        <w:t xml:space="preserve">Abbildung </w:t>
                      </w:r>
                      <w:r>
                        <w:rPr/>
                        <w:fldChar w:fldCharType="begin"/>
                      </w:r>
                      <w:r>
                        <w:rPr/>
                        <w:instrText xml:space="preserve"> SEQ Abbildung \* ARABIC </w:instrText>
                      </w:r>
                      <w:r>
                        <w:rPr/>
                        <w:fldChar w:fldCharType="separate"/>
                      </w:r>
                      <w:r>
                        <w:rPr/>
                        <w:t>1</w:t>
                      </w:r>
                      <w:r>
                        <w:rPr/>
                        <w:fldChar w:fldCharType="end"/>
                      </w:r>
                      <w:bookmarkEnd w:id="6"/>
                      <w:r>
                        <w:rPr/>
                        <w:t xml:space="preserve">: </w:t>
                      </w:r>
                      <w:r>
                        <w:rPr/>
                        <w:t>Versuchsaufbau (eigene Darstellung)</w:t>
                      </w:r>
                    </w:p>
                  </w:txbxContent>
                </v:textbox>
                <w10:wrap type="topAndBottom"/>
              </v:rect>
            </w:pict>
          </mc:Fallback>
        </mc:AlternateContent>
      </w:r>
    </w:p>
    <w:p>
      <w:pPr>
        <w:pStyle w:val="Heading1"/>
        <w:bidi w:val="0"/>
        <w:ind w:hanging="0" w:start="0"/>
        <w:rPr/>
      </w:pPr>
      <w:bookmarkStart w:id="7" w:name="__RefHeading___Toc90_3161735446"/>
      <w:bookmarkEnd w:id="7"/>
      <w:r>
        <w:rPr/>
        <w:t>Auswertung</w:t>
      </w:r>
    </w:p>
    <w:p>
      <w:pPr>
        <w:pStyle w:val="Heading2"/>
        <w:bidi w:val="0"/>
        <w:ind w:hanging="0" w:start="0"/>
        <w:rPr/>
      </w:pPr>
      <w:bookmarkStart w:id="8" w:name="__RefHeading___Toc101_3161735446"/>
      <w:bookmarkEnd w:id="8"/>
      <w:r>
        <w:rPr/>
        <w:t>Messwerte</w:t>
      </w:r>
    </w:p>
    <w:p>
      <w:pPr>
        <w:pStyle w:val="Normal"/>
        <w:bidi w:val="0"/>
        <w:rPr/>
      </w:pPr>
      <w:r>
        <w:rPr/>
        <w:t xml:space="preserve">Die Messwerte sind in </w:t>
      </w:r>
      <w:r>
        <w:rPr/>
        <w:fldChar w:fldCharType="begin"/>
      </w:r>
      <w:r>
        <w:rPr/>
        <w:instrText xml:space="preserve"> REF Ref_Tabelle0_label_and_number \h </w:instrText>
      </w:r>
      <w:r>
        <w:rPr/>
        <w:fldChar w:fldCharType="separate"/>
      </w:r>
      <w:r>
        <w:rPr/>
        <w:t>Tabelle 1</w:t>
      </w:r>
      <w:r>
        <w:rPr/>
        <w:fldChar w:fldCharType="end"/>
      </w:r>
      <w:r>
        <w:rPr/>
        <w:t xml:space="preserve"> zusammengefasst. Aus der Dauer von zehn Schwingungen wurde jeweils die Schwingungsdauer T berechnet und quadriert.</w:t>
      </w:r>
    </w:p>
    <w:p>
      <w:pPr>
        <w:pStyle w:val="Tabelle"/>
        <w:keepNext w:val="true"/>
        <w:bidi w:val="0"/>
        <w:rPr/>
      </w:pPr>
      <w:bookmarkStart w:id="9" w:name="Ref_Tabelle0_label_and_number"/>
      <w:r>
        <w:rPr/>
        <w:t xml:space="preserve">Tabelle </w:t>
      </w:r>
      <w:r>
        <w:rPr/>
        <w:fldChar w:fldCharType="begin"/>
      </w:r>
      <w:r>
        <w:rPr/>
        <w:instrText xml:space="preserve"> SEQ Tabelle \* ARABIC </w:instrText>
      </w:r>
      <w:r>
        <w:rPr/>
        <w:fldChar w:fldCharType="separate"/>
      </w:r>
      <w:r>
        <w:rPr/>
        <w:t>1</w:t>
      </w:r>
      <w:r>
        <w:rPr/>
        <w:fldChar w:fldCharType="end"/>
      </w:r>
      <w:bookmarkEnd w:id="9"/>
      <w:r>
        <w:rPr/>
        <w:t xml:space="preserve">: </w:t>
      </w:r>
      <w:r>
        <w:rPr/>
        <w:t>Messwerte für fünf Pendellängen (eigene Messung)</w:t>
      </w:r>
    </w:p>
    <w:tbl>
      <w:tblPr>
        <w:tblW w:w="5000" w:type="pct"/>
        <w:jc w:val="start"/>
        <w:tblInd w:w="-5" w:type="dxa"/>
        <w:tblLayout w:type="fixed"/>
        <w:tblCellMar>
          <w:top w:w="55" w:type="dxa"/>
          <w:start w:w="55" w:type="dxa"/>
          <w:bottom w:w="55" w:type="dxa"/>
          <w:end w:w="55" w:type="dxa"/>
        </w:tblCellMar>
      </w:tblPr>
      <w:tblGrid>
        <w:gridCol w:w="2267"/>
        <w:gridCol w:w="2268"/>
        <w:gridCol w:w="2268"/>
        <w:gridCol w:w="2269"/>
      </w:tblGrid>
      <w:tr>
        <w:trPr/>
        <w:tc>
          <w:tcPr>
            <w:tcW w:w="2267" w:type="dxa"/>
            <w:tcBorders>
              <w:top w:val="single" w:sz="4" w:space="0" w:color="000000"/>
              <w:start w:val="single" w:sz="4" w:space="0" w:color="000000"/>
              <w:bottom w:val="single" w:sz="4" w:space="0" w:color="000000"/>
            </w:tcBorders>
          </w:tcPr>
          <w:p>
            <w:pPr>
              <w:pStyle w:val="Tabelleninhalt"/>
              <w:bidi w:val="0"/>
              <w:rPr>
                <w:b/>
                <w:bCs/>
              </w:rPr>
            </w:pPr>
            <w:r>
              <w:rPr>
                <w:b/>
                <w:bCs/>
              </w:rPr>
              <w:t>Pendellänge l in m</w:t>
            </w:r>
          </w:p>
        </w:tc>
        <w:tc>
          <w:tcPr>
            <w:tcW w:w="2268" w:type="dxa"/>
            <w:tcBorders>
              <w:top w:val="single" w:sz="4" w:space="0" w:color="000000"/>
              <w:start w:val="single" w:sz="4" w:space="0" w:color="000000"/>
              <w:bottom w:val="single" w:sz="4" w:space="0" w:color="000000"/>
            </w:tcBorders>
          </w:tcPr>
          <w:p>
            <w:pPr>
              <w:pStyle w:val="Tabelleninhalt"/>
              <w:bidi w:val="0"/>
              <w:rPr>
                <w:b/>
                <w:bCs/>
              </w:rPr>
            </w:pPr>
            <w:r>
              <w:rPr>
                <w:b/>
                <w:bCs/>
              </w:rPr>
              <w:t>Dauer 10 T in s</w:t>
            </w:r>
          </w:p>
        </w:tc>
        <w:tc>
          <w:tcPr>
            <w:tcW w:w="2268" w:type="dxa"/>
            <w:tcBorders>
              <w:top w:val="single" w:sz="4" w:space="0" w:color="000000"/>
              <w:start w:val="single" w:sz="4" w:space="0" w:color="000000"/>
              <w:bottom w:val="single" w:sz="4" w:space="0" w:color="000000"/>
            </w:tcBorders>
          </w:tcPr>
          <w:p>
            <w:pPr>
              <w:pStyle w:val="Tabelleninhalt"/>
              <w:bidi w:val="0"/>
              <w:rPr>
                <w:b/>
                <w:bCs/>
              </w:rPr>
            </w:pPr>
            <w:r>
              <w:rPr>
                <w:b/>
                <w:bCs/>
              </w:rPr>
              <w:t>Schwingungsdauer T in s</w:t>
            </w:r>
          </w:p>
        </w:tc>
        <w:tc>
          <w:tcPr>
            <w:tcW w:w="2269" w:type="dxa"/>
            <w:tcBorders>
              <w:top w:val="single" w:sz="4" w:space="0" w:color="000000"/>
              <w:start w:val="single" w:sz="4" w:space="0" w:color="000000"/>
              <w:bottom w:val="single" w:sz="4" w:space="0" w:color="000000"/>
              <w:end w:val="single" w:sz="4" w:space="0" w:color="000000"/>
            </w:tcBorders>
          </w:tcPr>
          <w:p>
            <w:pPr>
              <w:pStyle w:val="Tabelleninhalt"/>
              <w:bidi w:val="0"/>
              <w:rPr>
                <w:b/>
                <w:bCs/>
              </w:rPr>
            </w:pPr>
            <w:r>
              <w:rPr>
                <w:b/>
                <w:bCs/>
              </w:rPr>
              <w:t>T² in s²</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0,30</w:t>
            </w:r>
          </w:p>
        </w:tc>
        <w:tc>
          <w:tcPr>
            <w:tcW w:w="2268" w:type="dxa"/>
            <w:tcBorders>
              <w:start w:val="single" w:sz="4" w:space="0" w:color="000000"/>
              <w:bottom w:val="single" w:sz="4" w:space="0" w:color="000000"/>
            </w:tcBorders>
          </w:tcPr>
          <w:p>
            <w:pPr>
              <w:pStyle w:val="Tabelleninhalt"/>
              <w:widowControl w:val="false"/>
              <w:suppressLineNumbers/>
              <w:bidi w:val="0"/>
              <w:rPr/>
            </w:pPr>
            <w:r>
              <w:rPr/>
              <w:t>10,97</w:t>
            </w:r>
          </w:p>
        </w:tc>
        <w:tc>
          <w:tcPr>
            <w:tcW w:w="2268" w:type="dxa"/>
            <w:tcBorders>
              <w:start w:val="single" w:sz="4" w:space="0" w:color="000000"/>
              <w:bottom w:val="single" w:sz="4" w:space="0" w:color="000000"/>
            </w:tcBorders>
          </w:tcPr>
          <w:p>
            <w:pPr>
              <w:pStyle w:val="Tabelleninhalt"/>
              <w:widowControl w:val="false"/>
              <w:suppressLineNumbers/>
              <w:bidi w:val="0"/>
              <w:rPr/>
            </w:pPr>
            <w:r>
              <w:rPr/>
              <w:t>1,097</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1,203</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0,50</w:t>
            </w:r>
          </w:p>
        </w:tc>
        <w:tc>
          <w:tcPr>
            <w:tcW w:w="2268" w:type="dxa"/>
            <w:tcBorders>
              <w:start w:val="single" w:sz="4" w:space="0" w:color="000000"/>
              <w:bottom w:val="single" w:sz="4" w:space="0" w:color="000000"/>
            </w:tcBorders>
          </w:tcPr>
          <w:p>
            <w:pPr>
              <w:pStyle w:val="Tabelleninhalt"/>
              <w:widowControl w:val="false"/>
              <w:suppressLineNumbers/>
              <w:bidi w:val="0"/>
              <w:rPr/>
            </w:pPr>
            <w:r>
              <w:rPr/>
              <w:t>14,21</w:t>
            </w:r>
          </w:p>
        </w:tc>
        <w:tc>
          <w:tcPr>
            <w:tcW w:w="2268" w:type="dxa"/>
            <w:tcBorders>
              <w:start w:val="single" w:sz="4" w:space="0" w:color="000000"/>
              <w:bottom w:val="single" w:sz="4" w:space="0" w:color="000000"/>
            </w:tcBorders>
          </w:tcPr>
          <w:p>
            <w:pPr>
              <w:pStyle w:val="Tabelleninhalt"/>
              <w:widowControl w:val="false"/>
              <w:suppressLineNumbers/>
              <w:bidi w:val="0"/>
              <w:rPr/>
            </w:pPr>
            <w:r>
              <w:rPr/>
              <w:t>1,421</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2,019</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0,70</w:t>
            </w:r>
          </w:p>
        </w:tc>
        <w:tc>
          <w:tcPr>
            <w:tcW w:w="2268" w:type="dxa"/>
            <w:tcBorders>
              <w:start w:val="single" w:sz="4" w:space="0" w:color="000000"/>
              <w:bottom w:val="single" w:sz="4" w:space="0" w:color="000000"/>
            </w:tcBorders>
          </w:tcPr>
          <w:p>
            <w:pPr>
              <w:pStyle w:val="Tabelleninhalt"/>
              <w:widowControl w:val="false"/>
              <w:suppressLineNumbers/>
              <w:bidi w:val="0"/>
              <w:rPr/>
            </w:pPr>
            <w:r>
              <w:rPr/>
              <w:t>16,75</w:t>
            </w:r>
          </w:p>
        </w:tc>
        <w:tc>
          <w:tcPr>
            <w:tcW w:w="2268" w:type="dxa"/>
            <w:tcBorders>
              <w:start w:val="single" w:sz="4" w:space="0" w:color="000000"/>
              <w:bottom w:val="single" w:sz="4" w:space="0" w:color="000000"/>
            </w:tcBorders>
          </w:tcPr>
          <w:p>
            <w:pPr>
              <w:pStyle w:val="Tabelleninhalt"/>
              <w:widowControl w:val="false"/>
              <w:suppressLineNumbers/>
              <w:bidi w:val="0"/>
              <w:rPr/>
            </w:pPr>
            <w:r>
              <w:rPr/>
              <w:t>1,675</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2,806</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0,90</w:t>
            </w:r>
          </w:p>
        </w:tc>
        <w:tc>
          <w:tcPr>
            <w:tcW w:w="2268" w:type="dxa"/>
            <w:tcBorders>
              <w:start w:val="single" w:sz="4" w:space="0" w:color="000000"/>
              <w:bottom w:val="single" w:sz="4" w:space="0" w:color="000000"/>
            </w:tcBorders>
          </w:tcPr>
          <w:p>
            <w:pPr>
              <w:pStyle w:val="Tabelleninhalt"/>
              <w:widowControl w:val="false"/>
              <w:suppressLineNumbers/>
              <w:bidi w:val="0"/>
              <w:rPr/>
            </w:pPr>
            <w:r>
              <w:rPr/>
              <w:t>19,06</w:t>
            </w:r>
          </w:p>
        </w:tc>
        <w:tc>
          <w:tcPr>
            <w:tcW w:w="2268" w:type="dxa"/>
            <w:tcBorders>
              <w:start w:val="single" w:sz="4" w:space="0" w:color="000000"/>
              <w:bottom w:val="single" w:sz="4" w:space="0" w:color="000000"/>
            </w:tcBorders>
          </w:tcPr>
          <w:p>
            <w:pPr>
              <w:pStyle w:val="Tabelleninhalt"/>
              <w:widowControl w:val="false"/>
              <w:suppressLineNumbers/>
              <w:bidi w:val="0"/>
              <w:rPr/>
            </w:pPr>
            <w:r>
              <w:rPr/>
              <w:t>1,906</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3,633</w:t>
            </w:r>
          </w:p>
        </w:tc>
      </w:tr>
      <w:tr>
        <w:trPr/>
        <w:tc>
          <w:tcPr>
            <w:tcW w:w="2267" w:type="dxa"/>
            <w:tcBorders>
              <w:start w:val="single" w:sz="4" w:space="0" w:color="000000"/>
              <w:bottom w:val="single" w:sz="4" w:space="0" w:color="000000"/>
            </w:tcBorders>
          </w:tcPr>
          <w:p>
            <w:pPr>
              <w:pStyle w:val="Tabelleninhalt"/>
              <w:widowControl w:val="false"/>
              <w:suppressLineNumbers/>
              <w:bidi w:val="0"/>
              <w:rPr/>
            </w:pPr>
            <w:r>
              <w:rPr/>
              <w:t>1,10</w:t>
            </w:r>
          </w:p>
        </w:tc>
        <w:tc>
          <w:tcPr>
            <w:tcW w:w="2268" w:type="dxa"/>
            <w:tcBorders>
              <w:start w:val="single" w:sz="4" w:space="0" w:color="000000"/>
              <w:bottom w:val="single" w:sz="4" w:space="0" w:color="000000"/>
            </w:tcBorders>
          </w:tcPr>
          <w:p>
            <w:pPr>
              <w:pStyle w:val="Tabelleninhalt"/>
              <w:widowControl w:val="false"/>
              <w:suppressLineNumbers/>
              <w:bidi w:val="0"/>
              <w:rPr/>
            </w:pPr>
            <w:r>
              <w:rPr/>
              <w:t>21,02</w:t>
            </w:r>
          </w:p>
        </w:tc>
        <w:tc>
          <w:tcPr>
            <w:tcW w:w="2268" w:type="dxa"/>
            <w:tcBorders>
              <w:start w:val="single" w:sz="4" w:space="0" w:color="000000"/>
              <w:bottom w:val="single" w:sz="4" w:space="0" w:color="000000"/>
            </w:tcBorders>
          </w:tcPr>
          <w:p>
            <w:pPr>
              <w:pStyle w:val="Tabelleninhalt"/>
              <w:widowControl w:val="false"/>
              <w:suppressLineNumbers/>
              <w:bidi w:val="0"/>
              <w:rPr/>
            </w:pPr>
            <w:r>
              <w:rPr/>
              <w:t>2,102</w:t>
            </w:r>
          </w:p>
        </w:tc>
        <w:tc>
          <w:tcPr>
            <w:tcW w:w="2269" w:type="dxa"/>
            <w:tcBorders>
              <w:start w:val="single" w:sz="4" w:space="0" w:color="000000"/>
              <w:bottom w:val="single" w:sz="4" w:space="0" w:color="000000"/>
              <w:end w:val="single" w:sz="4" w:space="0" w:color="000000"/>
            </w:tcBorders>
          </w:tcPr>
          <w:p>
            <w:pPr>
              <w:pStyle w:val="Tabelleninhalt"/>
              <w:widowControl w:val="false"/>
              <w:suppressLineNumbers/>
              <w:bidi w:val="0"/>
              <w:rPr/>
            </w:pPr>
            <w:r>
              <w:rPr/>
              <w:t>4,418</w:t>
            </w:r>
          </w:p>
        </w:tc>
      </w:tr>
    </w:tbl>
    <w:p>
      <w:pPr>
        <w:pStyle w:val="Normal"/>
        <w:bidi w:val="0"/>
        <w:rPr/>
      </w:pPr>
      <w:r>
        <w:rPr/>
      </w:r>
    </w:p>
    <w:p>
      <w:pPr>
        <w:pStyle w:val="Heading2"/>
        <w:bidi w:val="0"/>
        <w:ind w:hanging="0" w:start="0"/>
        <w:rPr/>
      </w:pPr>
      <w:bookmarkStart w:id="10" w:name="__RefHeading___Toc103_3161735446"/>
      <w:bookmarkEnd w:id="10"/>
      <w:r>
        <w:rPr/>
        <w:t>Grafische Auswertung</w:t>
      </w:r>
    </w:p>
    <w:p>
      <w:pPr>
        <w:pStyle w:val="Normal"/>
        <w:bidi w:val="0"/>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Heading1"/>
        <w:bidi w:val="0"/>
        <w:ind w:hanging="0" w:start="0"/>
        <w:rPr/>
      </w:pPr>
      <w:bookmarkStart w:id="11" w:name="__RefHeading___Toc92_3161735446"/>
      <w:bookmarkEnd w:id="11"/>
      <w:r>
        <w:rPr/>
        <w:t>Diskussion der Messunsicherheiten</w:t>
      </w:r>
    </w:p>
    <w:p>
      <w:pPr>
        <w:pStyle w:val="Normal"/>
        <w:widowControl/>
        <w:suppressAutoHyphens w:val="false"/>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widowControl/>
        <w:suppressAutoHyphens w:val="false"/>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Heading1"/>
        <w:bidi w:val="0"/>
        <w:ind w:hanging="0" w:start="0"/>
        <w:rPr/>
      </w:pPr>
      <w:bookmarkStart w:id="12" w:name="__RefHeading___Toc94_3161735446"/>
      <w:bookmarkEnd w:id="12"/>
      <w:r>
        <w:rPr/>
        <w:t>Fazit</w:t>
      </w:r>
    </w:p>
    <w:p>
      <w:pPr>
        <w:pStyle w:val="Normal"/>
        <w:widowControl/>
        <w:suppressAutoHyphens w:val="false"/>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Heading1"/>
        <w:numPr>
          <w:ilvl w:val="0"/>
          <w:numId w:val="0"/>
        </w:numPr>
        <w:bidi w:val="0"/>
        <w:ind w:hanging="0" w:start="0"/>
        <w:rPr/>
      </w:pPr>
      <w:bookmarkStart w:id="13" w:name="__RefHeading___Toc96_3161735446"/>
      <w:bookmarkEnd w:id="13"/>
      <w:r>
        <w:rPr/>
        <w:t>Literaturverzeichnis</w:t>
      </w:r>
    </w:p>
    <w:p>
      <w:pPr>
        <w:pStyle w:val="Normal"/>
        <w:bidi w:val="0"/>
        <w:ind w:hanging="1134" w:start="1134"/>
        <w:rPr/>
      </w:pPr>
      <w:r>
        <w:rPr/>
        <w:t>Beispiel, Bernd (2019): Grundkurs Mechanik. Schwingungen und Wellen. 3. Aufl. Musterstadt: Beispielverlag. [erfundene Beispielquelle]</w:t>
      </w:r>
    </w:p>
    <w:p>
      <w:pPr>
        <w:pStyle w:val="Normal"/>
        <w:bidi w:val="0"/>
        <w:ind w:hanging="1134" w:start="1134"/>
        <w:rPr/>
      </w:pPr>
      <w:r>
        <w:rPr/>
        <w:t>Muster, Maria (2021): Messen mit dem Fadenpendel. In: Zeitschrift für Beispielphysik 12 (3), S. 40–52. [erfundene Beispielquelle]</w:t>
      </w:r>
    </w:p>
    <w:p>
      <w:pPr>
        <w:pStyle w:val="Heading1"/>
        <w:numPr>
          <w:ilvl w:val="0"/>
          <w:numId w:val="0"/>
        </w:numPr>
        <w:bidi w:val="0"/>
        <w:ind w:hanging="0" w:start="0"/>
        <w:rPr/>
      </w:pPr>
      <w:bookmarkStart w:id="14" w:name="__RefHeading___Toc98_3161735446"/>
      <w:bookmarkEnd w:id="14"/>
      <w:r>
        <w:rPr/>
        <w:t>Selbstständigkeitserklärung</w:t>
      </w:r>
    </w:p>
    <w:p>
      <w:pPr>
        <w:pStyle w:val="Normal"/>
        <w:widowControl/>
        <w:suppressAutoHyphens w:val="false"/>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footerReference w:type="default" r:id="rId4"/>
      <w:footnotePr>
        <w:numFmt w:val="decimal"/>
      </w:footnotePr>
      <w:type w:val="nextPage"/>
      <w:pgSz w:w="11906" w:h="16838"/>
      <w:pgMar w:left="1417" w:right="1417" w:gutter="0" w:header="0" w:top="1417" w:footer="1417" w:bottom="202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 w:name="Carlito">
    <w:altName w:val="Calibri"/>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bookmarkStart w:id="15" w:name="PageNumWizard_FOOTER_Standard2"/>
    <w:r>
      <w:rPr/>
      <w:fldChar w:fldCharType="begin"/>
    </w:r>
    <w:r>
      <w:rPr/>
      <w:instrText xml:space="preserve"> PAGE </w:instrText>
    </w:r>
    <w:r>
      <w:rPr/>
      <w:fldChar w:fldCharType="separate"/>
    </w:r>
    <w:r>
      <w:rPr/>
      <w:t>7</w:t>
    </w:r>
    <w:r>
      <w:rPr/>
      <w:fldChar w:fldCharType="end"/>
    </w:r>
    <w:bookmarkEnd w:id="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suppressLineNumbers/>
        <w:bidi w:val="0"/>
        <w:ind w:hanging="340" w:start="340"/>
        <w:rPr/>
      </w:pPr>
      <w:r>
        <w:rPr>
          <w:rStyle w:val="Funotenzeichen"/>
        </w:rPr>
        <w:footnoteRef/>
      </w:r>
      <w:r>
        <w:rPr/>
        <w:tab/>
        <w:t>Verwendet wurde eine Handstoppuhr mit einer Anzeige auf hundertstel Sekunden. Die Reaktionszeit ist deutlich größer, siehe Kapitel 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start"/>
      <w:pPr>
        <w:tabs>
          <w:tab w:val="num" w:pos="0"/>
        </w:tabs>
        <w:ind w:start="0" w:hanging="0"/>
      </w:pPr>
    </w:lvl>
    <w:lvl w:ilvl="1">
      <w:start w:val="1"/>
      <w:numFmt w:val="decimal"/>
      <w:pStyle w:val="Heading2"/>
      <w:suff w:val="space"/>
      <w:lvlText w:val="%1.%2"/>
      <w:lvlJc w:val="start"/>
      <w:pPr>
        <w:tabs>
          <w:tab w:val="num" w:pos="0"/>
        </w:tabs>
        <w:ind w:start="0" w:hanging="0"/>
      </w:pPr>
    </w:lvl>
    <w:lvl w:ilvl="2">
      <w:start w:val="1"/>
      <w:numFmt w:val="decimal"/>
      <w:suff w:val="space"/>
      <w:lvlText w:val="%1.%2.%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1134"/>
  <w:autoHyphenation w:val="true"/>
  <w:hyphenationZone w:val="0"/>
  <w:footnotePr>
    <w:numFmt w:val="decimal"/>
    <w:footnote w:id="0"/>
    <w:footnote w:id="1"/>
  </w:footnotePr>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6"/>
      <w:szCs w:val="36"/>
    </w:rPr>
  </w:style>
  <w:style w:type="paragraph" w:styleId="Heading2">
    <w:name w:val="heading 2"/>
    <w:basedOn w:val="berschrift"/>
    <w:next w:val="BodyText"/>
    <w:qFormat/>
    <w:pPr>
      <w:numPr>
        <w:ilvl w:val="1"/>
        <w:numId w:val="1"/>
      </w:numPr>
      <w:spacing w:before="200" w:after="120"/>
      <w:outlineLvl w:val="1"/>
    </w:pPr>
    <w:rPr>
      <w:b/>
      <w:bCs/>
      <w:sz w:val="32"/>
      <w:szCs w:val="32"/>
    </w:rPr>
  </w:style>
  <w:style w:type="character" w:styleId="Hyperlink">
    <w:name w:val="Hyperlink"/>
    <w:rPr>
      <w:color w:val="000080"/>
      <w:u w:val="single"/>
    </w:rPr>
  </w:style>
  <w:style w:type="character" w:styleId="Verzeichnissprung">
    <w:name w:val="Verzeichnissprung"/>
    <w:qFormat/>
    <w:rPr/>
  </w:style>
  <w:style w:type="character" w:styleId="Funotenzeichen">
    <w:name w:val="Fußnotenzeichen"/>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nzeichen">
    <w:name w:val="Endnotenzeichen"/>
    <w:qFormat/>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Kopf-Fuzeile">
    <w:name w:val="Kopf-/Fußzeile"/>
    <w:basedOn w:val="Normal"/>
    <w:qFormat/>
    <w:pPr>
      <w:suppressLineNumbers/>
      <w:tabs>
        <w:tab w:val="clear" w:pos="1134"/>
        <w:tab w:val="center" w:pos="4536" w:leader="none"/>
        <w:tab w:val="right" w:pos="9072" w:leader="none"/>
      </w:tabs>
    </w:pPr>
    <w:rPr/>
  </w:style>
  <w:style w:type="paragraph" w:styleId="Footer">
    <w:name w:val="footer"/>
    <w:basedOn w:val="Kopf-Fuzeile"/>
    <w:pPr>
      <w:suppressLineNumbers/>
    </w:pPr>
    <w:rPr/>
  </w:style>
  <w:style w:type="paragraph" w:styleId="IndexHeading">
    <w:name w:val="index heading"/>
    <w:basedOn w:val="berschrift"/>
    <w:pPr>
      <w:suppressLineNumbers/>
      <w:ind w:hanging="0" w:start="0"/>
    </w:pPr>
    <w:rPr>
      <w:b/>
      <w:bCs/>
      <w:sz w:val="32"/>
      <w:szCs w:val="32"/>
    </w:rPr>
  </w:style>
  <w:style w:type="paragraph" w:styleId="TOCHeading">
    <w:name w:val="TOC Heading"/>
    <w:basedOn w:val="IndexHeading"/>
    <w:qFormat/>
    <w:pPr>
      <w:suppressLineNumbers/>
      <w:ind w:hanging="0" w:start="0"/>
    </w:pPr>
    <w:rPr>
      <w:b/>
      <w:bCs/>
      <w:sz w:val="32"/>
      <w:szCs w:val="32"/>
    </w:rPr>
  </w:style>
  <w:style w:type="paragraph" w:styleId="Verzeichnis">
    <w:name w:val="Verzeichnis"/>
    <w:basedOn w:val="Normal"/>
    <w:qFormat/>
    <w:pPr>
      <w:suppressLineNumbers/>
    </w:pPr>
    <w:rPr/>
  </w:style>
  <w:style w:type="paragraph" w:styleId="TOC1">
    <w:name w:val="toc 1"/>
    <w:basedOn w:val="Verzeichnis"/>
    <w:pPr>
      <w:tabs>
        <w:tab w:val="clear" w:pos="1134"/>
        <w:tab w:val="right" w:pos="9072" w:leader="dot"/>
      </w:tabs>
      <w:ind w:hanging="0" w:start="0"/>
    </w:pPr>
    <w:rPr/>
  </w:style>
  <w:style w:type="paragraph" w:styleId="TOC2">
    <w:name w:val="toc 2"/>
    <w:basedOn w:val="Verzeichnis"/>
    <w:pPr>
      <w:tabs>
        <w:tab w:val="clear" w:pos="1134"/>
        <w:tab w:val="right" w:pos="9072" w:leader="dot"/>
      </w:tabs>
      <w:ind w:hanging="0" w:start="283"/>
    </w:pPr>
    <w:rPr/>
  </w:style>
  <w:style w:type="paragraph" w:styleId="Tabelleninhalt">
    <w:name w:val="Tabelleninhalt"/>
    <w:basedOn w:val="Normal"/>
    <w:qFormat/>
    <w:pPr>
      <w:widowControl w:val="false"/>
      <w:suppressLineNumbers/>
    </w:pPr>
    <w:rPr/>
  </w:style>
  <w:style w:type="paragraph" w:styleId="Caption">
    <w:name w:val="caption"/>
    <w:basedOn w:val="Normal"/>
    <w:qFormat/>
    <w:pPr>
      <w:suppressLineNumbers/>
      <w:spacing w:before="120" w:after="120"/>
    </w:pPr>
    <w:rPr>
      <w:i/>
      <w:iCs/>
      <w:sz w:val="20"/>
      <w:szCs w:val="20"/>
    </w:rPr>
  </w:style>
  <w:style w:type="paragraph" w:styleId="Tabelle">
    <w:name w:val="Tabelle"/>
    <w:basedOn w:val="Caption"/>
    <w:qFormat/>
    <w:pPr/>
    <w:rPr/>
  </w:style>
  <w:style w:type="paragraph" w:styleId="Abbildung">
    <w:name w:val="Abbildung"/>
    <w:basedOn w:val="Caption"/>
    <w:qFormat/>
    <w:pPr/>
    <w:rPr/>
  </w:style>
  <w:style w:type="paragraph" w:styleId="Rahmeninhalt">
    <w:name w:val="Rahmeninhalt"/>
    <w:basedOn w:val="Normal"/>
    <w:qFormat/>
    <w:pPr/>
    <w:rPr/>
  </w:style>
  <w:style w:type="paragraph" w:styleId="Blockzitat">
    <w:name w:val="Blockzitat"/>
    <w:basedOn w:val="Normal"/>
    <w:qFormat/>
    <w:pPr>
      <w:spacing w:before="0" w:after="283"/>
      <w:ind w:hanging="0" w:start="567" w:end="567"/>
    </w:pPr>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LibreOffice/26.2.6.3$Linux_X86_64 LibreOffice_project/620$Build-3</Application>
  <AppVersion>15.0000</AppVersion>
  <Pages>7</Pages>
  <Words>864</Words>
  <Characters>5268</Characters>
  <CharactersWithSpaces>6038</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2026-10-09T15:13:02Z</dcterms:modified>
  <cp:revision>6</cp:revision>
  <dc:subject/>
  <dc:title/>
</cp:coreProperties>
</file>